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20</w:t>
      </w:r>
      <w:r>
        <w:rPr>
          <w:rFonts w:hint="eastAsia" w:ascii="方正小标宋简体" w:hAnsi="宋体" w:eastAsia="方正小标宋简体"/>
          <w:color w:val="000000"/>
          <w:sz w:val="36"/>
          <w:szCs w:val="36"/>
          <w:lang w:val="en-US" w:eastAsia="zh-CN"/>
        </w:rPr>
        <w:t>24</w:t>
      </w:r>
      <w:r>
        <w:rPr>
          <w:rFonts w:hint="eastAsia" w:ascii="方正小标宋简体" w:hAnsi="宋体" w:eastAsia="方正小标宋简体"/>
          <w:color w:val="000000"/>
          <w:sz w:val="36"/>
          <w:szCs w:val="36"/>
        </w:rPr>
        <w:t>年</w:t>
      </w:r>
      <w:r>
        <w:rPr>
          <w:rFonts w:hint="eastAsia" w:ascii="方正小标宋简体" w:hAnsi="宋体" w:eastAsia="方正小标宋简体"/>
          <w:color w:val="000000"/>
          <w:sz w:val="36"/>
          <w:szCs w:val="36"/>
          <w:lang w:eastAsia="zh-CN"/>
        </w:rPr>
        <w:t>第二批</w:t>
      </w:r>
      <w:r>
        <w:rPr>
          <w:rFonts w:hint="eastAsia" w:ascii="方正小标宋简体" w:hAnsi="宋体" w:eastAsia="方正小标宋简体"/>
          <w:color w:val="000000"/>
          <w:sz w:val="36"/>
          <w:szCs w:val="36"/>
        </w:rPr>
        <w:t>中央财政少数民族发展资金</w:t>
      </w:r>
      <w:r>
        <w:rPr>
          <w:rFonts w:hint="eastAsia" w:ascii="方正小标宋简体" w:hAnsi="宋体" w:eastAsia="方正小标宋简体"/>
          <w:color w:val="000000"/>
          <w:sz w:val="36"/>
          <w:szCs w:val="36"/>
          <w:lang w:eastAsia="zh-CN"/>
        </w:rPr>
        <w:t>分配</w:t>
      </w:r>
      <w:r>
        <w:rPr>
          <w:rFonts w:hint="eastAsia" w:ascii="方正小标宋简体" w:hAnsi="宋体" w:eastAsia="方正小标宋简体"/>
          <w:color w:val="000000"/>
          <w:sz w:val="36"/>
          <w:szCs w:val="36"/>
        </w:rPr>
        <w:t>表</w:t>
      </w:r>
    </w:p>
    <w:p>
      <w:pPr>
        <w:spacing w:line="560" w:lineRule="exact"/>
        <w:jc w:val="center"/>
        <w:rPr>
          <w:rFonts w:hint="eastAsia" w:ascii="方正小标宋简体" w:hAnsi="宋体" w:eastAsia="方正小标宋简体"/>
          <w:color w:val="000000"/>
          <w:sz w:val="36"/>
          <w:szCs w:val="36"/>
        </w:rPr>
      </w:pPr>
    </w:p>
    <w:p>
      <w:pPr>
        <w:spacing w:line="560" w:lineRule="exact"/>
        <w:jc w:val="center"/>
        <w:rPr>
          <w:rFonts w:hint="eastAsia" w:ascii="方正宋一简体" w:hAnsi="宋体" w:eastAsia="方正宋一简体"/>
          <w:color w:val="000000"/>
          <w:sz w:val="21"/>
          <w:szCs w:val="21"/>
        </w:rPr>
      </w:pPr>
      <w:r>
        <w:rPr>
          <w:rFonts w:hint="eastAsia" w:ascii="方正宋一简体" w:hAnsi="宋体" w:eastAsia="方正宋一简体"/>
          <w:color w:val="000000"/>
          <w:sz w:val="26"/>
          <w:szCs w:val="26"/>
        </w:rPr>
        <w:t xml:space="preserve">                                                          </w:t>
      </w:r>
      <w:r>
        <w:rPr>
          <w:rFonts w:hint="eastAsia" w:ascii="方正宋一简体" w:hAnsi="宋体" w:eastAsia="方正宋一简体"/>
          <w:color w:val="000000"/>
          <w:sz w:val="21"/>
          <w:szCs w:val="21"/>
        </w:rPr>
        <w:t>单位：万元</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1933"/>
        <w:gridCol w:w="4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blHeader/>
        </w:trPr>
        <w:tc>
          <w:tcPr>
            <w:tcW w:w="2548" w:type="dxa"/>
            <w:noWrap w:val="0"/>
            <w:vAlign w:val="center"/>
          </w:tcPr>
          <w:p>
            <w:pPr>
              <w:spacing w:line="560" w:lineRule="exact"/>
              <w:ind w:firstLine="592" w:firstLineChars="247"/>
              <w:jc w:val="left"/>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行政区划</w:t>
            </w:r>
          </w:p>
        </w:tc>
        <w:tc>
          <w:tcPr>
            <w:tcW w:w="1933" w:type="dxa"/>
            <w:noWrap w:val="0"/>
            <w:vAlign w:val="center"/>
          </w:tcPr>
          <w:p>
            <w:pPr>
              <w:spacing w:line="560" w:lineRule="exact"/>
              <w:jc w:val="center"/>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安排金额</w:t>
            </w:r>
          </w:p>
        </w:tc>
        <w:tc>
          <w:tcPr>
            <w:tcW w:w="4435" w:type="dxa"/>
            <w:noWrap w:val="0"/>
            <w:vAlign w:val="center"/>
          </w:tcPr>
          <w:p>
            <w:pPr>
              <w:spacing w:line="560" w:lineRule="exact"/>
              <w:jc w:val="center"/>
              <w:rPr>
                <w:rFonts w:hint="eastAsia" w:ascii="方正粗宋简体" w:eastAsia="方正粗宋简体"/>
                <w:b w:val="0"/>
                <w:bCs/>
                <w:color w:val="000000"/>
                <w:sz w:val="24"/>
                <w:szCs w:val="24"/>
              </w:rPr>
            </w:pPr>
            <w:r>
              <w:rPr>
                <w:rFonts w:hint="eastAsia" w:ascii="方正粗宋简体" w:eastAsia="方正粗宋简体"/>
                <w:b w:val="0"/>
                <w:bCs/>
                <w:color w:val="00000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48" w:type="dxa"/>
            <w:noWrap w:val="0"/>
            <w:vAlign w:val="center"/>
          </w:tcPr>
          <w:p>
            <w:pPr>
              <w:spacing w:line="560" w:lineRule="exact"/>
              <w:ind w:firstLine="831" w:firstLineChars="345"/>
              <w:jc w:val="left"/>
              <w:rPr>
                <w:rFonts w:hint="eastAsia" w:ascii="方正宋一简体" w:hAnsi="宋体" w:eastAsia="方正宋一简体"/>
                <w:b w:val="0"/>
                <w:bCs/>
                <w:color w:val="000000"/>
                <w:sz w:val="24"/>
                <w:szCs w:val="24"/>
              </w:rPr>
            </w:pPr>
            <w:r>
              <w:rPr>
                <w:rFonts w:hint="eastAsia" w:ascii="方正宋一简体" w:hAnsi="宋体" w:eastAsia="方正宋一简体"/>
                <w:b/>
                <w:bCs w:val="0"/>
                <w:color w:val="000000"/>
                <w:sz w:val="24"/>
                <w:szCs w:val="24"/>
              </w:rPr>
              <w:t>合计</w:t>
            </w:r>
          </w:p>
        </w:tc>
        <w:tc>
          <w:tcPr>
            <w:tcW w:w="1933"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105</w:t>
            </w:r>
          </w:p>
        </w:tc>
        <w:tc>
          <w:tcPr>
            <w:tcW w:w="4435" w:type="dxa"/>
            <w:noWrap w:val="0"/>
            <w:vAlign w:val="center"/>
          </w:tcPr>
          <w:p>
            <w:pPr>
              <w:spacing w:line="560" w:lineRule="exact"/>
              <w:jc w:val="both"/>
              <w:rPr>
                <w:rFonts w:hint="eastAsia" w:ascii="方正宋一简体" w:hAnsi="宋体" w:eastAsia="方正宋一简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ascii="方正粗宋简体" w:eastAsia="方正粗宋简体"/>
                <w:b w:val="0"/>
                <w:bCs/>
                <w:color w:val="000000"/>
                <w:sz w:val="24"/>
                <w:szCs w:val="24"/>
                <w:lang w:eastAsia="zh-CN"/>
              </w:rPr>
            </w:pPr>
            <w:r>
              <w:rPr>
                <w:rFonts w:hint="eastAsia" w:ascii="方正粗宋简体" w:eastAsia="方正粗宋简体"/>
                <w:b w:val="0"/>
                <w:bCs/>
                <w:color w:val="000000"/>
                <w:sz w:val="24"/>
                <w:szCs w:val="24"/>
                <w:lang w:eastAsia="zh-CN"/>
              </w:rPr>
              <w:t>韶关市</w:t>
            </w:r>
          </w:p>
        </w:tc>
        <w:tc>
          <w:tcPr>
            <w:tcW w:w="1933" w:type="dxa"/>
            <w:noWrap w:val="0"/>
            <w:vAlign w:val="top"/>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105</w:t>
            </w:r>
          </w:p>
        </w:tc>
        <w:tc>
          <w:tcPr>
            <w:tcW w:w="4435" w:type="dxa"/>
            <w:noWrap w:val="0"/>
            <w:vAlign w:val="center"/>
          </w:tcPr>
          <w:p>
            <w:pPr>
              <w:spacing w:line="560" w:lineRule="exact"/>
              <w:jc w:val="both"/>
              <w:rPr>
                <w:rFonts w:hint="eastAsia" w:ascii="方正粗宋简体" w:eastAsia="方正粗宋简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48" w:type="dxa"/>
            <w:noWrap w:val="0"/>
            <w:vAlign w:val="top"/>
          </w:tcPr>
          <w:p>
            <w:pPr>
              <w:spacing w:line="560" w:lineRule="exact"/>
              <w:jc w:val="center"/>
              <w:rPr>
                <w:rFonts w:hint="eastAsia" w:ascii="仿宋_GB2312" w:hAnsi="仿宋_GB2312" w:eastAsia="仿宋_GB2312" w:cs="仿宋_GB2312"/>
                <w:b w:val="0"/>
                <w:bCs/>
                <w:color w:val="000000"/>
                <w:sz w:val="24"/>
                <w:szCs w:val="24"/>
                <w:lang w:eastAsia="zh-CN"/>
              </w:rPr>
            </w:pPr>
            <w:r>
              <w:rPr>
                <w:rFonts w:hint="eastAsia" w:ascii="方正粗宋简体" w:eastAsia="方正粗宋简体"/>
                <w:b w:val="0"/>
                <w:bCs/>
                <w:color w:val="000000"/>
                <w:sz w:val="24"/>
                <w:szCs w:val="24"/>
                <w:lang w:eastAsia="zh-CN"/>
              </w:rPr>
              <w:t>始兴县</w:t>
            </w:r>
          </w:p>
        </w:tc>
        <w:tc>
          <w:tcPr>
            <w:tcW w:w="1933" w:type="dxa"/>
            <w:noWrap w:val="0"/>
            <w:vAlign w:val="center"/>
          </w:tcPr>
          <w:p>
            <w:pPr>
              <w:spacing w:line="560" w:lineRule="exact"/>
              <w:jc w:val="center"/>
              <w:rPr>
                <w:rFonts w:hint="eastAsia" w:ascii="方正粗宋简体" w:eastAsia="方正粗宋简体"/>
                <w:b w:val="0"/>
                <w:bCs/>
                <w:color w:val="000000"/>
                <w:sz w:val="24"/>
                <w:szCs w:val="24"/>
                <w:lang w:val="en-US" w:eastAsia="zh-CN"/>
              </w:rPr>
            </w:pPr>
            <w:r>
              <w:rPr>
                <w:rFonts w:hint="eastAsia" w:ascii="方正粗宋简体" w:eastAsia="方正粗宋简体"/>
                <w:b w:val="0"/>
                <w:bCs/>
                <w:color w:val="000000"/>
                <w:sz w:val="24"/>
                <w:szCs w:val="24"/>
                <w:lang w:val="en-US" w:eastAsia="zh-CN"/>
              </w:rPr>
              <w:t>105</w:t>
            </w:r>
          </w:p>
        </w:tc>
        <w:tc>
          <w:tcPr>
            <w:tcW w:w="4435" w:type="dxa"/>
            <w:noWrap w:val="0"/>
            <w:vAlign w:val="center"/>
          </w:tcPr>
          <w:p>
            <w:pPr>
              <w:spacing w:line="240" w:lineRule="exact"/>
              <w:jc w:val="both"/>
              <w:rPr>
                <w:rFonts w:hint="eastAsia" w:ascii="方正宋一简体" w:hAnsi="宋体" w:eastAsia="方正宋一简体"/>
                <w:color w:val="000000"/>
                <w:sz w:val="21"/>
                <w:szCs w:val="21"/>
                <w:lang w:val="en-US" w:eastAsia="zh-CN"/>
              </w:rPr>
            </w:pPr>
            <w:r>
              <w:rPr>
                <w:rFonts w:hint="eastAsia" w:hAnsi="仿宋_GB2312" w:cs="仿宋_GB2312"/>
                <w:b w:val="0"/>
                <w:bCs/>
                <w:color w:val="000000"/>
                <w:sz w:val="24"/>
                <w:szCs w:val="24"/>
                <w:lang w:val="en-US" w:eastAsia="zh-CN"/>
              </w:rPr>
              <w:t>105万元专项用于始兴县深渡水瑶族乡农文旅产业融合发展配套设施建设。</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宋一简体">
    <w:altName w:val="宋体"/>
    <w:panose1 w:val="03000509000000000000"/>
    <w:charset w:val="86"/>
    <w:family w:val="script"/>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NDBhNjA4ZWVhYmE1YzhiMDgyYThiNTA4OTQ5MjAifQ=="/>
  </w:docVars>
  <w:rsids>
    <w:rsidRoot w:val="180C4EFE"/>
    <w:rsid w:val="180C4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2024-04-26T10:18:00Z</dcterms:created>
  <dc:creator>Ying</dc:creator>
  <cp:lastModifiedBy>Ying</cp:lastModifiedBy>
  <dcterms:modified xsi:type="dcterms:W3CDTF">2024-04-26T10:18:52Z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81B0DEBB052749A496C53D9B33657573_11</vt:lpwstr>
  </property>
</Properties>
</file>